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F952" w14:textId="77777777" w:rsidR="001A79F0" w:rsidRDefault="001A79F0" w:rsidP="00E80431">
      <w:pPr>
        <w:rPr>
          <w:b/>
          <w:bCs/>
          <w:szCs w:val="22"/>
        </w:rPr>
      </w:pPr>
    </w:p>
    <w:p w14:paraId="598ED01A" w14:textId="2186FBF9" w:rsidR="0024293D" w:rsidRPr="00D12DDD" w:rsidRDefault="00261561" w:rsidP="00E80431">
      <w:pPr>
        <w:pStyle w:val="oddl-nadpis"/>
        <w:keepNext w:val="0"/>
        <w:widowControl/>
        <w:pBdr>
          <w:top w:val="single" w:sz="4" w:space="1" w:color="auto"/>
          <w:bottom w:val="single" w:sz="4" w:space="1" w:color="auto"/>
        </w:pBdr>
        <w:shd w:val="clear" w:color="auto" w:fill="D9D9D9"/>
        <w:tabs>
          <w:tab w:val="left" w:pos="0"/>
        </w:tabs>
        <w:spacing w:before="120" w:line="0" w:lineRule="atLeast"/>
        <w:rPr>
          <w:rFonts w:ascii="Times New Roman" w:hAnsi="Times New Roman" w:cs="Times New Roman"/>
          <w:sz w:val="22"/>
          <w:szCs w:val="22"/>
          <w:lang w:val="bg-BG"/>
        </w:rPr>
      </w:pPr>
      <w:r w:rsidRPr="00261561">
        <w:rPr>
          <w:rFonts w:ascii="Times New Roman" w:hAnsi="Times New Roman" w:cs="Times New Roman"/>
          <w:sz w:val="22"/>
          <w:szCs w:val="22"/>
          <w:lang w:val="bg-BG"/>
        </w:rPr>
        <w:t>МЕТОДИКА ЗА ОЦЕНКА НА ОФЕРТ</w:t>
      </w:r>
      <w:r w:rsidR="00953106">
        <w:rPr>
          <w:rFonts w:ascii="Times New Roman" w:hAnsi="Times New Roman" w:cs="Times New Roman"/>
          <w:sz w:val="22"/>
          <w:szCs w:val="22"/>
          <w:lang w:val="bg-BG"/>
        </w:rPr>
        <w:t>ИТЕ</w:t>
      </w:r>
    </w:p>
    <w:p w14:paraId="56D24E89" w14:textId="69A1369B" w:rsidR="003A2CAD" w:rsidRPr="00D12DDD" w:rsidRDefault="003A2CAD"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399F3165" w14:textId="77777777" w:rsidR="00E4715F" w:rsidRPr="00D12DDD" w:rsidRDefault="00E4715F"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13B35754" w14:textId="3FD8AE57" w:rsidR="00A84EB2" w:rsidRDefault="00815C00" w:rsidP="00715C44">
      <w:r>
        <w:rPr>
          <w:b/>
          <w:szCs w:val="22"/>
        </w:rPr>
        <w:t xml:space="preserve">Настоящата Методика е изготвена в съответствие с принципите залегнали в чл. 2 от ЗОП </w:t>
      </w:r>
      <w:r w:rsidR="00963276">
        <w:rPr>
          <w:b/>
          <w:szCs w:val="22"/>
        </w:rPr>
        <w:t>и се прилага за оценяване на подадените предложения/оферти</w:t>
      </w:r>
      <w:r w:rsidR="004C549F">
        <w:rPr>
          <w:b/>
          <w:szCs w:val="22"/>
        </w:rPr>
        <w:t xml:space="preserve"> по обществена поръчка </w:t>
      </w:r>
      <w:r w:rsidR="00454BDC">
        <w:rPr>
          <w:b/>
          <w:szCs w:val="22"/>
        </w:rPr>
        <w:t>п</w:t>
      </w:r>
      <w:r w:rsidR="00454BDC" w:rsidRPr="001D53C5">
        <w:rPr>
          <w:b/>
          <w:szCs w:val="22"/>
        </w:rPr>
        <w:t xml:space="preserve">ровеждана </w:t>
      </w:r>
      <w:r w:rsidR="0088602F" w:rsidRPr="006167E1">
        <w:rPr>
          <w:color w:val="000000"/>
        </w:rPr>
        <w:t>чрез СЪБИРАНЕ НА ОФЕРТИ С ОБЯВА</w:t>
      </w:r>
      <w:r w:rsidR="0088602F">
        <w:rPr>
          <w:color w:val="000000"/>
        </w:rPr>
        <w:t xml:space="preserve">, съгласно чл. 20, ал. 3, т. 2 от ЗОП с предмет: </w:t>
      </w:r>
      <w:r w:rsidR="0088602F" w:rsidRPr="006167E1">
        <w:rPr>
          <w:b/>
          <w:bCs/>
          <w:color w:val="000000"/>
        </w:rPr>
        <w:t xml:space="preserve">„Извършване на одит с 9 обособени позиции“ </w:t>
      </w:r>
      <w:r w:rsidR="0088602F" w:rsidRPr="006167E1">
        <w:rPr>
          <w:bCs/>
          <w:color w:val="000000"/>
        </w:rPr>
        <w:t>по проектни предложения, които се осъществяват с финансовата подкрепа на Оперативна програма „Региони в растеж”2014-2020г., съфинансирана от Европейския съюз чрез Европейс</w:t>
      </w:r>
      <w:r w:rsidR="0084141A">
        <w:rPr>
          <w:bCs/>
          <w:color w:val="000000"/>
        </w:rPr>
        <w:t xml:space="preserve">кия фонд за регионално развитие </w:t>
      </w:r>
      <w:r w:rsidR="00C948CC" w:rsidRPr="00C948CC">
        <w:rPr>
          <w:b/>
          <w:bCs/>
          <w:color w:val="000000"/>
        </w:rPr>
        <w:t>за</w:t>
      </w:r>
      <w:r w:rsidR="00C948CC">
        <w:rPr>
          <w:bCs/>
          <w:color w:val="000000"/>
        </w:rPr>
        <w:t xml:space="preserve"> </w:t>
      </w:r>
      <w:r w:rsidR="00274A43" w:rsidRPr="006415B5">
        <w:rPr>
          <w:b/>
        </w:rPr>
        <w:t>Обособена позиция №8</w:t>
      </w:r>
      <w:r w:rsidR="00274A43" w:rsidRPr="006167E1">
        <w:t xml:space="preserve"> – „Извършване на одит по изпълнение на дейностите и отчитане на разходите по проект за „Повишаване на енергийна ефективност на жилищни сгради в гр. Пещера – ЛОТ 4“</w:t>
      </w:r>
    </w:p>
    <w:p w14:paraId="2631F798" w14:textId="77777777" w:rsidR="00274A43" w:rsidRPr="00715C44" w:rsidRDefault="00274A43" w:rsidP="00715C44">
      <w:pPr>
        <w:rPr>
          <w:b/>
          <w:bCs/>
          <w:szCs w:val="22"/>
        </w:rPr>
      </w:pPr>
    </w:p>
    <w:p w14:paraId="1CD9BE1F" w14:textId="77777777" w:rsidR="00851E14" w:rsidRPr="00D12DDD" w:rsidRDefault="00851E14" w:rsidP="00851E14">
      <w:pPr>
        <w:pStyle w:val="-1"/>
        <w:rPr>
          <w:szCs w:val="22"/>
        </w:rPr>
      </w:pPr>
      <w:r>
        <w:t>КРИТЕРИИ ЗА ВЪЗЛАГАНЕ НА ОБЩЕСТВЕНАТА ПОРЪЧКА</w:t>
      </w:r>
    </w:p>
    <w:p w14:paraId="685F687A" w14:textId="77777777" w:rsidR="00851E14" w:rsidRDefault="00851E14" w:rsidP="00851E14">
      <w:pPr>
        <w:pStyle w:val="-2"/>
      </w:pPr>
      <w:bookmarkStart w:id="0" w:name="_Toc463772586"/>
      <w:bookmarkStart w:id="1" w:name="_Toc463772592"/>
      <w:r>
        <w:t>УКАЗАНИЯ</w:t>
      </w:r>
    </w:p>
    <w:p w14:paraId="2F37F985" w14:textId="77777777" w:rsidR="00851E14" w:rsidRPr="00B20359" w:rsidRDefault="00851E14" w:rsidP="00851E14">
      <w:pPr>
        <w:pStyle w:val="-3"/>
      </w:pPr>
      <w:r w:rsidRPr="00B20359">
        <w:t>Преди да пристъпи към оценяване на показателите от техническите предложения на участниците, комисията проверява дали същите са подготвени и представени в съответствие с изискванията на документацията за обществената поръчка и техническите спецификации. Комисията предлага за отстраняване от процедурата участник, който е представил техническо предложение, което не отговаря на предварително обявените условия на възложителя.</w:t>
      </w:r>
    </w:p>
    <w:p w14:paraId="116C3E0F" w14:textId="77777777" w:rsidR="00851E14" w:rsidRPr="00C8027B" w:rsidRDefault="00851E14" w:rsidP="00851E14">
      <w:pPr>
        <w:pStyle w:val="-2"/>
      </w:pPr>
      <w:r w:rsidRPr="00C8027B">
        <w:t>КРИТЕРИИ ЗА ВЪЗЛАГАНЕ: КРИТЕРИЙ ЗА КАЧЕСТВО</w:t>
      </w:r>
      <w:bookmarkEnd w:id="0"/>
    </w:p>
    <w:p w14:paraId="009577A8" w14:textId="77777777" w:rsidR="00851E14" w:rsidRDefault="00851E14" w:rsidP="00851E14">
      <w:pPr>
        <w:pStyle w:val="-3"/>
      </w:pPr>
      <w:bookmarkStart w:id="2" w:name="_Toc463772588"/>
      <w:r w:rsidRPr="008D4122">
        <w:t>Обществената поръчка се възлага въз основа на икономически най-изгодната оферта при критерий</w:t>
      </w:r>
      <w:r>
        <w:t>:</w:t>
      </w:r>
    </w:p>
    <w:p w14:paraId="011C0FF9" w14:textId="77777777" w:rsidR="00851E14" w:rsidRDefault="00851E14" w:rsidP="00851E14">
      <w:pPr>
        <w:pStyle w:val="-4"/>
      </w:pPr>
      <w:r w:rsidRPr="008D4122">
        <w:t>„ОПТИМАЛНО СЪОТНОШЕНИЕ КАЧЕСТВО/ЦЕНА“</w:t>
      </w:r>
    </w:p>
    <w:p w14:paraId="2C9D6FD1" w14:textId="77777777" w:rsidR="00851E14" w:rsidRDefault="00851E14" w:rsidP="00851E14">
      <w:pPr>
        <w:pStyle w:val="-4"/>
      </w:pPr>
      <w:r w:rsidRPr="00057E43">
        <w:t>Икономически най-изгодната оферта се определя въз основа на критерии за възлагане оптимално съотношение качество/цена. Основната цел при съставянето на методиката и критериите за оценяване е да бъде избрана икономически най-изгодната оферта, т.е. участник, чиято оферта в най-голяма степен отговаря на предварително обявените от възложителя условия. Класирането на допуснатите до оценка оферти се извършва на база получената от всяка оферта КО – „КОМПЛЕКСНА ОЦЕНКА“</w:t>
      </w:r>
    </w:p>
    <w:p w14:paraId="2ED77848" w14:textId="77777777" w:rsidR="00851E14" w:rsidRDefault="00851E14" w:rsidP="00851E14">
      <w:pPr>
        <w:pStyle w:val="-3"/>
      </w:pPr>
      <w:r w:rsidRPr="000C083F">
        <w:t xml:space="preserve">КОМПЛЕКСНА ОЦЕНКА </w:t>
      </w:r>
    </w:p>
    <w:p w14:paraId="1B2E3B10" w14:textId="77777777" w:rsidR="00851E14" w:rsidRPr="005D2A7D" w:rsidRDefault="00851E14" w:rsidP="00851E14">
      <w:pPr>
        <w:pStyle w:val="-4"/>
      </w:pPr>
      <w:r w:rsidRPr="00502F1C">
        <w:rPr>
          <w:b/>
        </w:rPr>
        <w:t>КО – „КОМПЛЕКСНА ОЦЕНКА“</w:t>
      </w:r>
      <w:r w:rsidRPr="00D12DDD">
        <w:t>, която е с максимална стойност от</w:t>
      </w:r>
      <w:r w:rsidRPr="005D2A7D">
        <w:t xml:space="preserve"> </w:t>
      </w:r>
      <w:r>
        <w:rPr>
          <w:b/>
        </w:rPr>
        <w:t>100</w:t>
      </w:r>
      <w:r w:rsidRPr="005D2A7D">
        <w:rPr>
          <w:b/>
        </w:rPr>
        <w:t xml:space="preserve"> точки</w:t>
      </w:r>
      <w:r w:rsidRPr="005D2A7D">
        <w:t xml:space="preserve"> </w:t>
      </w:r>
      <w:r>
        <w:t xml:space="preserve">и </w:t>
      </w:r>
      <w:r w:rsidRPr="005D2A7D">
        <w:t xml:space="preserve">се изчислява по формулата: </w:t>
      </w:r>
      <w:r w:rsidRPr="00BE4F9E">
        <w:rPr>
          <w:b/>
        </w:rPr>
        <w:t>КО = П1 + П2</w:t>
      </w:r>
      <w:r w:rsidRPr="005D2A7D">
        <w:t>; Комплексната оценка се формира като сума от оценките за</w:t>
      </w:r>
      <w:r>
        <w:t xml:space="preserve"> всички показатели в методиката. </w:t>
      </w:r>
      <w:r w:rsidRPr="005D2A7D">
        <w:t xml:space="preserve">На първо място ще бъде </w:t>
      </w:r>
      <w:r w:rsidRPr="005D2A7D">
        <w:lastRenderedPageBreak/>
        <w:t xml:space="preserve">класиран участникът, събрал максимален брой точки. </w:t>
      </w:r>
      <w:bookmarkEnd w:id="2"/>
      <w:r w:rsidRPr="003B4F53">
        <w:t>Получената стойност се закръгля до втория знак след десетичната запетая (0,00)</w:t>
      </w:r>
    </w:p>
    <w:p w14:paraId="579C88ED" w14:textId="26AD1C4F" w:rsidR="00851E14" w:rsidRDefault="00851E14" w:rsidP="00851E14">
      <w:pPr>
        <w:pStyle w:val="-4"/>
      </w:pPr>
      <w:bookmarkStart w:id="3" w:name="_Toc463772589"/>
      <w:r w:rsidRPr="005D2A7D">
        <w:rPr>
          <w:b/>
        </w:rPr>
        <w:t>П1 – „ЦЕНА</w:t>
      </w:r>
      <w:r>
        <w:rPr>
          <w:b/>
        </w:rPr>
        <w:t xml:space="preserve"> ЗА ИЗПЪЛНЕНИЕ НА </w:t>
      </w:r>
      <w:r w:rsidR="00BE3571">
        <w:rPr>
          <w:b/>
        </w:rPr>
        <w:t>ДОГОВОРА</w:t>
      </w:r>
      <w:r w:rsidRPr="005D2A7D">
        <w:rPr>
          <w:b/>
        </w:rPr>
        <w:t>“</w:t>
      </w:r>
      <w:r w:rsidRPr="00D12DDD">
        <w:t>, която е с максимална стойност от</w:t>
      </w:r>
      <w:r w:rsidRPr="005D2A7D">
        <w:t xml:space="preserve"> </w:t>
      </w:r>
      <w:r>
        <w:rPr>
          <w:b/>
        </w:rPr>
        <w:t>4</w:t>
      </w:r>
      <w:r w:rsidRPr="005D2A7D">
        <w:rPr>
          <w:b/>
        </w:rPr>
        <w:t>0 точки</w:t>
      </w:r>
      <w:r w:rsidRPr="005D2A7D">
        <w:t xml:space="preserve"> </w:t>
      </w:r>
      <w:r>
        <w:t xml:space="preserve">и </w:t>
      </w:r>
      <w:r w:rsidRPr="005D2A7D">
        <w:t xml:space="preserve">се изчислява по формулата: </w:t>
      </w:r>
      <w:r w:rsidRPr="00EF711E">
        <w:rPr>
          <w:b/>
        </w:rPr>
        <w:t>П1 = (Ц1min/Ц1)x40</w:t>
      </w:r>
      <w:bookmarkEnd w:id="3"/>
      <w:r w:rsidRPr="00EF711E">
        <w:t>, където</w:t>
      </w:r>
      <w:r>
        <w:rPr>
          <w:b/>
        </w:rPr>
        <w:t xml:space="preserve">  </w:t>
      </w:r>
      <w:r w:rsidRPr="00EF711E">
        <w:rPr>
          <w:b/>
        </w:rPr>
        <w:t>Ц1min</w:t>
      </w:r>
      <w:r w:rsidRPr="005D2A7D">
        <w:t xml:space="preserve"> – </w:t>
      </w:r>
      <w:r>
        <w:t>(</w:t>
      </w:r>
      <w:r w:rsidRPr="00EF711E">
        <w:rPr>
          <w:i/>
        </w:rPr>
        <w:t>най-ниско предложена цена</w:t>
      </w:r>
      <w:r>
        <w:rPr>
          <w:i/>
        </w:rPr>
        <w:t xml:space="preserve"> за </w:t>
      </w:r>
      <w:r w:rsidR="00BE3571">
        <w:rPr>
          <w:i/>
        </w:rPr>
        <w:t>изпълнение на договора</w:t>
      </w:r>
      <w:r w:rsidRPr="00EF711E">
        <w:rPr>
          <w:i/>
        </w:rPr>
        <w:t xml:space="preserve"> от между всички участници</w:t>
      </w:r>
      <w:r>
        <w:t xml:space="preserve">) и </w:t>
      </w:r>
      <w:r w:rsidRPr="00EF711E">
        <w:rPr>
          <w:b/>
        </w:rPr>
        <w:t>Ц1</w:t>
      </w:r>
      <w:r w:rsidRPr="005D2A7D">
        <w:t xml:space="preserve"> – </w:t>
      </w:r>
      <w:r>
        <w:t>(</w:t>
      </w:r>
      <w:r w:rsidRPr="00EF711E">
        <w:rPr>
          <w:i/>
        </w:rPr>
        <w:t>предложената цена</w:t>
      </w:r>
      <w:r>
        <w:rPr>
          <w:i/>
        </w:rPr>
        <w:t xml:space="preserve"> за </w:t>
      </w:r>
      <w:r w:rsidR="00BE3571">
        <w:rPr>
          <w:i/>
        </w:rPr>
        <w:t>изпълнение на договора</w:t>
      </w:r>
      <w:r w:rsidRPr="00EF711E">
        <w:rPr>
          <w:i/>
        </w:rPr>
        <w:t xml:space="preserve"> съответния разглеждан участник</w:t>
      </w:r>
      <w:r>
        <w:t>)</w:t>
      </w:r>
      <w:r w:rsidRPr="003B4F53">
        <w:t xml:space="preserve"> Получената стойност се закръгля до втория знак след десетичната запетая (0,00)</w:t>
      </w:r>
      <w:r>
        <w:t xml:space="preserve">. </w:t>
      </w:r>
    </w:p>
    <w:p w14:paraId="2B3DBF75" w14:textId="087E2DDE" w:rsidR="00851E14" w:rsidRPr="005D2A7D" w:rsidRDefault="00851E14" w:rsidP="00851E14">
      <w:pPr>
        <w:pStyle w:val="-4"/>
      </w:pPr>
      <w:bookmarkStart w:id="4" w:name="_Toc463772591"/>
      <w:r w:rsidRPr="005D2A7D">
        <w:rPr>
          <w:b/>
        </w:rPr>
        <w:t xml:space="preserve">П2 – „КАЧЕСТВО” </w:t>
      </w:r>
      <w:r w:rsidRPr="005D2A7D">
        <w:t xml:space="preserve">се изчислява по формулата: </w:t>
      </w:r>
      <w:r w:rsidRPr="005D2A7D">
        <w:rPr>
          <w:b/>
        </w:rPr>
        <w:t>П2 = П2.1 + П2.2</w:t>
      </w:r>
      <w:r w:rsidRPr="005D2A7D">
        <w:t xml:space="preserve">, и е с максимална стойност от </w:t>
      </w:r>
      <w:r>
        <w:rPr>
          <w:b/>
        </w:rPr>
        <w:t>6</w:t>
      </w:r>
      <w:r w:rsidRPr="005D2A7D">
        <w:rPr>
          <w:b/>
        </w:rPr>
        <w:t>0 точки.</w:t>
      </w:r>
      <w:bookmarkEnd w:id="4"/>
      <w:r w:rsidRPr="005D2A7D">
        <w:rPr>
          <w:b/>
        </w:rPr>
        <w:t xml:space="preserve"> </w:t>
      </w:r>
    </w:p>
    <w:p w14:paraId="2930B012" w14:textId="77777777" w:rsidR="000228CC" w:rsidRDefault="000228CC" w:rsidP="000228CC">
      <w:pPr>
        <w:pStyle w:val="-5"/>
        <w:rPr>
          <w:b/>
        </w:rPr>
      </w:pPr>
      <w:bookmarkStart w:id="5" w:name="_Toc463772593"/>
      <w:bookmarkEnd w:id="1"/>
      <w:r>
        <w:rPr>
          <w:b/>
        </w:rPr>
        <w:t>П2.1 – „ПРОФЕСИОНАЛНА КОМПЕТЕНТНОСТ”</w:t>
      </w:r>
      <w:r>
        <w:t xml:space="preserve">, която е с максимална стойност от </w:t>
      </w:r>
      <w:r>
        <w:rPr>
          <w:b/>
        </w:rPr>
        <w:t xml:space="preserve">30 точки. </w:t>
      </w:r>
      <w:r>
        <w:t xml:space="preserve">Точките (оценките) са точно фиксирани и са </w:t>
      </w:r>
      <w:r>
        <w:rPr>
          <w:b/>
        </w:rPr>
        <w:t>(5;15;30)</w:t>
      </w:r>
      <w:r>
        <w:t xml:space="preserve"> и се поставят от комисията, както следва: </w:t>
      </w:r>
      <w:r>
        <w:rPr>
          <w:b/>
        </w:rPr>
        <w:t>5 ТОЧКИ</w:t>
      </w:r>
      <w:r>
        <w:t xml:space="preserve"> – (</w:t>
      </w:r>
      <w:r>
        <w:rPr>
          <w:i/>
        </w:rPr>
        <w:t xml:space="preserve">Участникът е предложил изпълнението да се осъществи от екип от служители/експерти със следната професионална компетентност: </w:t>
      </w:r>
      <w:r>
        <w:rPr>
          <w:b/>
          <w:i/>
        </w:rPr>
        <w:t xml:space="preserve">ЕКСПЕРТ-1 </w:t>
      </w:r>
      <w:r>
        <w:rPr>
          <w:i/>
        </w:rPr>
        <w:t>– Ръководител на одитния екип, който като член на екип и/или самостоятелно да е участвал в изготвянето на 1бр. одитен доклад</w:t>
      </w:r>
      <w:r>
        <w:rPr>
          <w:b/>
          <w:i/>
        </w:rPr>
        <w:t>)</w:t>
      </w:r>
      <w:r>
        <w:rPr>
          <w:i/>
        </w:rPr>
        <w:t xml:space="preserve">; </w:t>
      </w:r>
      <w:r>
        <w:rPr>
          <w:b/>
        </w:rPr>
        <w:t>15 ТОЧКИ</w:t>
      </w:r>
      <w:r>
        <w:t xml:space="preserve"> – (</w:t>
      </w:r>
      <w:r>
        <w:rPr>
          <w:i/>
        </w:rPr>
        <w:t xml:space="preserve">Участникът е предложил изпълнението да се осъществи от екип от служители/експерти със следната професионална компетентност: </w:t>
      </w:r>
      <w:r>
        <w:rPr>
          <w:b/>
          <w:i/>
        </w:rPr>
        <w:t xml:space="preserve">ЕКСПЕРТ-1 </w:t>
      </w:r>
      <w:r>
        <w:rPr>
          <w:i/>
        </w:rPr>
        <w:t xml:space="preserve">– Ръководител на одитния екип, който като член на екип и/или самостоятелно да е участвал в изготвянето на 2бр. одитни доклада); </w:t>
      </w:r>
      <w:r>
        <w:rPr>
          <w:b/>
        </w:rPr>
        <w:t>30 ТОЧКИ</w:t>
      </w:r>
      <w:r>
        <w:t xml:space="preserve"> – (</w:t>
      </w:r>
      <w:r>
        <w:rPr>
          <w:i/>
        </w:rPr>
        <w:t xml:space="preserve">Участникът е предложил изпълнението да се осъществи от екип от служители/експерти със следната професионална компетентност: </w:t>
      </w:r>
      <w:r>
        <w:rPr>
          <w:b/>
          <w:i/>
        </w:rPr>
        <w:t xml:space="preserve">ЕКСПЕРТ-1 </w:t>
      </w:r>
      <w:r>
        <w:rPr>
          <w:i/>
        </w:rPr>
        <w:t>– Ръководител на одитния екип, който като член на екип и/или самостоятелно да е участвал в изготвянето на 3бр. одитни доклада)</w:t>
      </w:r>
    </w:p>
    <w:p w14:paraId="4BDF5C9C" w14:textId="77777777" w:rsidR="000228CC" w:rsidRDefault="000228CC" w:rsidP="000228CC">
      <w:pPr>
        <w:pStyle w:val="-5"/>
      </w:pPr>
      <w:r>
        <w:rPr>
          <w:b/>
        </w:rPr>
        <w:t>П2.2 – „ОРГАНИЗАЦИЯ НА ПЕРСОНАЛА”</w:t>
      </w:r>
      <w:r>
        <w:t xml:space="preserve">, която е с максимална стойност от </w:t>
      </w:r>
      <w:r>
        <w:rPr>
          <w:b/>
        </w:rPr>
        <w:t xml:space="preserve">30 точки. </w:t>
      </w:r>
      <w:r>
        <w:t xml:space="preserve">Точките (оценките) са точно фиксирани и са </w:t>
      </w:r>
      <w:r>
        <w:rPr>
          <w:b/>
        </w:rPr>
        <w:t>(5;15,30)</w:t>
      </w:r>
      <w:r>
        <w:t xml:space="preserve"> и се поставят от комисията, както следва: </w:t>
      </w:r>
      <w:r>
        <w:rPr>
          <w:b/>
        </w:rPr>
        <w:t>5 ТОЧКИ</w:t>
      </w:r>
      <w:r>
        <w:t xml:space="preserve"> – (</w:t>
      </w:r>
      <w:r>
        <w:rPr>
          <w:i/>
          <w:iCs/>
        </w:rPr>
        <w:t>Участникът е предложил организация на екипа от служители/експерти, която не обхваща поне една дейност предмет на поръчката и поне един етап на жизненият цикъл, които образуват и отразяват жизненият цикъл</w:t>
      </w:r>
      <w:r>
        <w:t xml:space="preserve">); </w:t>
      </w:r>
      <w:r>
        <w:rPr>
          <w:b/>
        </w:rPr>
        <w:t>15 ТОЧКИ</w:t>
      </w:r>
      <w:r>
        <w:t xml:space="preserve"> – (1-</w:t>
      </w:r>
      <w:r>
        <w:rPr>
          <w:i/>
          <w:iCs/>
        </w:rPr>
        <w:t>Участникът е предложил организация на персонала (експертния персонал), която обхваща всяка една дейност предмет на поръчката, но не обхваща поне един етап на жизненият цикъл, които образуват и отразяват жизненият цикъл или 2- Участникът е предложил организация на екипа от служители/експерти, която не обхваща поне една дейност предмет на поръчката, но обхваща всеки един етап на жизненият цикъл, които образуват и отразяват жизненият цикъл</w:t>
      </w:r>
      <w:r>
        <w:t xml:space="preserve">); </w:t>
      </w:r>
      <w:r>
        <w:rPr>
          <w:b/>
        </w:rPr>
        <w:t>30 ТОЧКИ</w:t>
      </w:r>
      <w:r>
        <w:t xml:space="preserve"> – (</w:t>
      </w:r>
      <w:r>
        <w:rPr>
          <w:i/>
          <w:iCs/>
        </w:rPr>
        <w:t>Участникът е предложил организация на екипа от служители/експерти, която обхваща всяка една дейност предмет на поръчката и всеки един етап на жизненият цикъл, които образуват и отразяват жизненият цикъл</w:t>
      </w:r>
      <w:r>
        <w:rPr>
          <w:i/>
        </w:rPr>
        <w:t>)</w:t>
      </w:r>
    </w:p>
    <w:bookmarkEnd w:id="5"/>
    <w:p w14:paraId="02B6BA45" w14:textId="77777777" w:rsidR="00851E14" w:rsidRPr="0049253B" w:rsidRDefault="00851E14" w:rsidP="00851E14">
      <w:pPr>
        <w:pStyle w:val="-3"/>
      </w:pPr>
      <w:r w:rsidRPr="0049253B">
        <w:t xml:space="preserve">Участникът, който получи най-висока </w:t>
      </w:r>
      <w:r w:rsidRPr="000C083F">
        <w:t>КО – „КОМПЛЕКСНА ОЦЕНКА“</w:t>
      </w:r>
      <w:r>
        <w:t xml:space="preserve"> </w:t>
      </w:r>
      <w:r w:rsidRPr="0049253B">
        <w:t>на офертата се класира на първо място. Останалите участници се класират в низходящ ред съгласно съответната им комплексна оценка.</w:t>
      </w:r>
    </w:p>
    <w:p w14:paraId="37148E3B" w14:textId="77777777" w:rsidR="00851E14" w:rsidRPr="0049253B" w:rsidRDefault="00851E14" w:rsidP="00851E14">
      <w:pPr>
        <w:pStyle w:val="-3"/>
      </w:pPr>
      <w:r w:rsidRPr="0049253B">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Обосновката може да се отнася до: </w:t>
      </w:r>
    </w:p>
    <w:p w14:paraId="2AA14AE0" w14:textId="545B496D" w:rsidR="00851E14" w:rsidRPr="0049253B" w:rsidRDefault="00851E14" w:rsidP="00851E14">
      <w:pPr>
        <w:pStyle w:val="-4"/>
      </w:pPr>
      <w:r w:rsidRPr="0049253B">
        <w:t xml:space="preserve">икономическите особености на </w:t>
      </w:r>
      <w:r w:rsidR="006A6CE6">
        <w:t>работния процес или на предоставяните услуги;</w:t>
      </w:r>
    </w:p>
    <w:p w14:paraId="08C22AE7" w14:textId="12E00652" w:rsidR="00851E14" w:rsidRPr="0049253B" w:rsidRDefault="00851E14" w:rsidP="00851E14">
      <w:pPr>
        <w:pStyle w:val="-4"/>
      </w:pPr>
      <w:r w:rsidRPr="0049253B">
        <w:lastRenderedPageBreak/>
        <w:t>избраните технически решения или наличието на изключително благоприятни условия за участника за предоставянето на услугите</w:t>
      </w:r>
      <w:r w:rsidR="006A6CE6">
        <w:t>;</w:t>
      </w:r>
      <w:r w:rsidRPr="0049253B">
        <w:t xml:space="preserve"> </w:t>
      </w:r>
    </w:p>
    <w:p w14:paraId="1BF483E3" w14:textId="11FE9243" w:rsidR="00851E14" w:rsidRPr="0049253B" w:rsidRDefault="00851E14" w:rsidP="00851E14">
      <w:pPr>
        <w:pStyle w:val="-4"/>
      </w:pPr>
      <w:r w:rsidRPr="0049253B">
        <w:t xml:space="preserve">оригиналност на предложеното от участника решение по отношение на услугите; </w:t>
      </w:r>
    </w:p>
    <w:p w14:paraId="0E745623" w14:textId="77777777" w:rsidR="00851E14" w:rsidRPr="0049253B" w:rsidRDefault="00851E14" w:rsidP="00851E14">
      <w:pPr>
        <w:pStyle w:val="-4"/>
      </w:pPr>
      <w:r w:rsidRPr="0049253B">
        <w:t xml:space="preserve">спазването на задълженията по чл. 115 от ЗОП; </w:t>
      </w:r>
    </w:p>
    <w:p w14:paraId="201938CF" w14:textId="77777777" w:rsidR="00851E14" w:rsidRPr="0049253B" w:rsidRDefault="00851E14" w:rsidP="00851E14">
      <w:pPr>
        <w:pStyle w:val="-4"/>
      </w:pPr>
      <w:r w:rsidRPr="0049253B">
        <w:t>възможността участникът да получи държавна помощ.</w:t>
      </w:r>
    </w:p>
    <w:p w14:paraId="02A52A9B" w14:textId="77777777" w:rsidR="00851E14" w:rsidRPr="0049253B" w:rsidRDefault="00851E14" w:rsidP="00851E14">
      <w:pPr>
        <w:pStyle w:val="-3"/>
      </w:pPr>
      <w:r w:rsidRPr="0049253B">
        <w:t>Получената обосновка се оценява по отношение на нейната пълнота и обективност относно гореизброените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156021C7" w14:textId="77777777" w:rsidR="00851E14" w:rsidRPr="0049253B" w:rsidRDefault="00851E14" w:rsidP="00851E14">
      <w:pPr>
        <w:pStyle w:val="-3"/>
      </w:pPr>
      <w:r w:rsidRPr="0049253B">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14:paraId="23FC7BE1" w14:textId="77777777" w:rsidR="00851E14" w:rsidRDefault="00851E14" w:rsidP="00851E14">
      <w:pPr>
        <w:pStyle w:val="-3"/>
      </w:pPr>
      <w:r w:rsidRPr="0049253B">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14:paraId="28293424" w14:textId="77777777" w:rsidR="00851E14" w:rsidRDefault="00851E14" w:rsidP="00851E14">
      <w:pPr>
        <w:pStyle w:val="oddl-nadpis"/>
        <w:keepNext w:val="0"/>
        <w:widowControl/>
        <w:tabs>
          <w:tab w:val="clear" w:pos="567"/>
        </w:tabs>
        <w:spacing w:before="120" w:line="0" w:lineRule="atLeast"/>
        <w:rPr>
          <w:rFonts w:ascii="Times New Roman" w:hAnsi="Times New Roman" w:cs="Times New Roman"/>
          <w:sz w:val="22"/>
          <w:szCs w:val="22"/>
          <w:lang w:val="bg-BG"/>
        </w:rPr>
      </w:pPr>
    </w:p>
    <w:p w14:paraId="215AE1C7" w14:textId="77777777" w:rsidR="00291812" w:rsidRDefault="00291812"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29607BE6" w14:textId="2A0BCA41" w:rsidR="006C5A29" w:rsidRDefault="006C5A29"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sidRPr="005B794A">
        <w:rPr>
          <w:rFonts w:ascii="Times New Roman" w:hAnsi="Times New Roman" w:cs="Times New Roman"/>
          <w:b w:val="0"/>
          <w:sz w:val="22"/>
          <w:szCs w:val="22"/>
          <w:lang w:val="bg-BG"/>
        </w:rPr>
        <w:t>Одобрил:</w:t>
      </w:r>
    </w:p>
    <w:p w14:paraId="757DE198" w14:textId="22966CE8" w:rsidR="006C5A29" w:rsidRDefault="007E2F98"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Стела Павлова</w:t>
      </w:r>
    </w:p>
    <w:p w14:paraId="79448983" w14:textId="4C1FDD4B" w:rsidR="006C5A29" w:rsidRDefault="006C5A29"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Ръководител на проекта</w:t>
      </w:r>
    </w:p>
    <w:p w14:paraId="3918C486" w14:textId="588E6679" w:rsidR="00665692" w:rsidRPr="005B794A" w:rsidRDefault="00665692"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021961AB" w14:textId="77777777" w:rsidR="006C5A29" w:rsidRDefault="006C5A29"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64F0FA04" w14:textId="361906A2" w:rsidR="006C5A29" w:rsidRDefault="006C5A29"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sidRPr="005B794A">
        <w:rPr>
          <w:rFonts w:ascii="Times New Roman" w:hAnsi="Times New Roman" w:cs="Times New Roman"/>
          <w:b w:val="0"/>
          <w:sz w:val="22"/>
          <w:szCs w:val="22"/>
          <w:lang w:val="bg-BG"/>
        </w:rPr>
        <w:t>Съгласувал:</w:t>
      </w:r>
    </w:p>
    <w:p w14:paraId="0BB4478B" w14:textId="77777777" w:rsidR="006C5A29" w:rsidRDefault="006C5A29"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Цветан Христов</w:t>
      </w:r>
    </w:p>
    <w:p w14:paraId="1E295C0A" w14:textId="77777777" w:rsidR="006C5A29" w:rsidRPr="005B794A" w:rsidRDefault="006C5A29" w:rsidP="006C5A29">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Юрист на проекта</w:t>
      </w:r>
    </w:p>
    <w:p w14:paraId="21F5E18B" w14:textId="77777777" w:rsidR="006C5A29" w:rsidRDefault="006C5A29"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6768208" w14:textId="77777777" w:rsidR="006C5A29" w:rsidRDefault="006C5A29"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0130D6CD" w14:textId="3EBDBCE0" w:rsidR="005B794A" w:rsidRDefault="009C66E4"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r w:rsidRPr="005B794A">
        <w:rPr>
          <w:rFonts w:ascii="Times New Roman" w:hAnsi="Times New Roman" w:cs="Times New Roman"/>
          <w:b w:val="0"/>
          <w:sz w:val="22"/>
          <w:szCs w:val="22"/>
          <w:lang w:val="bg-BG"/>
        </w:rPr>
        <w:t>Изготвил</w:t>
      </w:r>
      <w:r w:rsidR="007E2F98">
        <w:rPr>
          <w:rFonts w:ascii="Times New Roman" w:hAnsi="Times New Roman" w:cs="Times New Roman"/>
          <w:b w:val="0"/>
          <w:sz w:val="22"/>
          <w:szCs w:val="22"/>
          <w:lang w:val="bg-BG"/>
        </w:rPr>
        <w:t>и</w:t>
      </w:r>
      <w:r w:rsidR="005B794A" w:rsidRPr="005B794A">
        <w:rPr>
          <w:rFonts w:ascii="Times New Roman" w:hAnsi="Times New Roman" w:cs="Times New Roman"/>
          <w:b w:val="0"/>
          <w:sz w:val="22"/>
          <w:szCs w:val="22"/>
          <w:lang w:val="bg-BG"/>
        </w:rPr>
        <w:t>:</w:t>
      </w:r>
    </w:p>
    <w:p w14:paraId="1003AFB9" w14:textId="0122FDB2" w:rsidR="007E2F98" w:rsidRDefault="007E2F98"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Кръстина Андреева</w:t>
      </w:r>
    </w:p>
    <w:p w14:paraId="366B49BD" w14:textId="1E0F6E7D" w:rsidR="007E2F98" w:rsidRDefault="007E2F98"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Счетоводител на проекта</w:t>
      </w:r>
    </w:p>
    <w:p w14:paraId="510E725F" w14:textId="77777777" w:rsidR="007E2F98" w:rsidRDefault="007E2F98"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0F992518" w14:textId="77777777" w:rsidR="007E2F98" w:rsidRDefault="007E2F98"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BB886FD" w14:textId="3E7452CC" w:rsidR="00B967FF" w:rsidRDefault="007E2F98"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Мария Генчева</w:t>
      </w:r>
    </w:p>
    <w:p w14:paraId="6D8C69CD" w14:textId="2C635E01" w:rsidR="00B967FF" w:rsidRPr="005B794A" w:rsidRDefault="00B967FF"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r>
        <w:rPr>
          <w:rFonts w:ascii="Times New Roman" w:hAnsi="Times New Roman" w:cs="Times New Roman"/>
          <w:b w:val="0"/>
          <w:sz w:val="22"/>
          <w:szCs w:val="22"/>
          <w:lang w:val="bg-BG"/>
        </w:rPr>
        <w:t>Инвеститорски контрол на проекта</w:t>
      </w:r>
    </w:p>
    <w:sectPr w:rsidR="00B967FF" w:rsidRPr="005B794A" w:rsidSect="005B794A">
      <w:headerReference w:type="even" r:id="rId8"/>
      <w:headerReference w:type="default" r:id="rId9"/>
      <w:footerReference w:type="even" r:id="rId10"/>
      <w:footerReference w:type="default" r:id="rId11"/>
      <w:headerReference w:type="first" r:id="rId12"/>
      <w:footerReference w:type="first" r:id="rId13"/>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0E6C" w14:textId="77777777" w:rsidR="00764E7D" w:rsidRDefault="00764E7D">
      <w:r>
        <w:separator/>
      </w:r>
    </w:p>
  </w:endnote>
  <w:endnote w:type="continuationSeparator" w:id="0">
    <w:p w14:paraId="2EF3AC2B" w14:textId="77777777" w:rsidR="00764E7D" w:rsidRDefault="00764E7D">
      <w:r>
        <w:continuationSeparator/>
      </w:r>
    </w:p>
  </w:endnote>
  <w:endnote w:type="continuationNotice" w:id="1">
    <w:p w14:paraId="65741855" w14:textId="77777777" w:rsidR="00764E7D" w:rsidRDefault="00764E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D8ED6" w14:textId="77777777" w:rsidR="00715C44" w:rsidRDefault="00715C4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1" w:type="dxa"/>
      <w:tblInd w:w="-142" w:type="dxa"/>
      <w:tblBorders>
        <w:top w:val="single" w:sz="4" w:space="0" w:color="auto"/>
      </w:tblBorders>
      <w:tblLook w:val="00A0" w:firstRow="1" w:lastRow="0" w:firstColumn="1" w:lastColumn="0" w:noHBand="0" w:noVBand="0"/>
    </w:tblPr>
    <w:tblGrid>
      <w:gridCol w:w="10131"/>
    </w:tblGrid>
    <w:tr w:rsidR="00AB39B1" w:rsidRPr="00E1290D" w14:paraId="618A9442" w14:textId="77777777" w:rsidTr="00796441">
      <w:trPr>
        <w:trHeight w:val="1197"/>
      </w:trPr>
      <w:tc>
        <w:tcPr>
          <w:tcW w:w="10131" w:type="dxa"/>
          <w:tcBorders>
            <w:top w:val="single" w:sz="4" w:space="0" w:color="auto"/>
          </w:tcBorders>
          <w:vAlign w:val="center"/>
        </w:tcPr>
        <w:p w14:paraId="2695F2A6" w14:textId="5E64AD0D" w:rsidR="00AB39B1" w:rsidRPr="00715C44" w:rsidRDefault="00205ABA" w:rsidP="00886126">
          <w:pPr>
            <w:pBdr>
              <w:top w:val="single" w:sz="4" w:space="1" w:color="auto"/>
              <w:bottom w:val="single" w:sz="4" w:space="1" w:color="auto"/>
              <w:between w:val="single" w:sz="4" w:space="1" w:color="auto"/>
            </w:pBdr>
            <w:rPr>
              <w:sz w:val="16"/>
              <w:szCs w:val="16"/>
            </w:rPr>
          </w:pPr>
          <w:bookmarkStart w:id="6" w:name="_GoBack"/>
          <w:bookmarkEnd w:id="6"/>
          <w:r w:rsidRPr="004B24A4">
            <w:rPr>
              <w:bCs/>
              <w:sz w:val="16"/>
              <w:szCs w:val="16"/>
            </w:rPr>
            <w:t>„</w:t>
          </w:r>
          <w:r w:rsidRPr="004B24A4">
            <w:rPr>
              <w:sz w:val="16"/>
              <w:szCs w:val="16"/>
            </w:rPr>
            <w:t>Този документ е създаден в рамките на проект: BG16RFOP001-2.001-01</w:t>
          </w:r>
          <w:r>
            <w:rPr>
              <w:sz w:val="16"/>
              <w:szCs w:val="16"/>
            </w:rPr>
            <w:t>2</w:t>
          </w:r>
          <w:r w:rsidRPr="004B24A4">
            <w:rPr>
              <w:sz w:val="16"/>
              <w:szCs w:val="16"/>
            </w:rPr>
            <w:t>4,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по Административен Договор за БФП № BG16RFOP001-2.001-01</w:t>
          </w:r>
          <w:r>
            <w:rPr>
              <w:sz w:val="16"/>
              <w:szCs w:val="16"/>
            </w:rPr>
            <w:t>2</w:t>
          </w:r>
          <w:r w:rsidRPr="004B24A4">
            <w:rPr>
              <w:sz w:val="16"/>
              <w:szCs w:val="16"/>
            </w:rPr>
            <w:t>4-С01, сключен между Община Пещера и Управляващия Орган на ОПРР.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tc>
    </w:tr>
  </w:tbl>
  <w:p w14:paraId="5B4A6455" w14:textId="4DF28259" w:rsidR="00AB39B1" w:rsidRPr="0024293D" w:rsidRDefault="00AB39B1" w:rsidP="00E1290D">
    <w:pPr>
      <w:pBdr>
        <w:top w:val="single" w:sz="4" w:space="1" w:color="auto"/>
      </w:pBdr>
      <w:spacing w:before="0" w:after="0"/>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0" w:type="dxa"/>
      <w:tblInd w:w="-142" w:type="dxa"/>
      <w:tblBorders>
        <w:top w:val="single" w:sz="4" w:space="0" w:color="auto"/>
      </w:tblBorders>
      <w:tblLook w:val="00A0" w:firstRow="1" w:lastRow="0" w:firstColumn="1" w:lastColumn="0" w:noHBand="0" w:noVBand="0"/>
    </w:tblPr>
    <w:tblGrid>
      <w:gridCol w:w="10180"/>
    </w:tblGrid>
    <w:tr w:rsidR="00AB39B1" w:rsidRPr="00E1290D" w14:paraId="52129121" w14:textId="77777777" w:rsidTr="00796441">
      <w:trPr>
        <w:trHeight w:val="1245"/>
      </w:trPr>
      <w:tc>
        <w:tcPr>
          <w:tcW w:w="10180" w:type="dxa"/>
          <w:tcBorders>
            <w:top w:val="single" w:sz="4" w:space="0" w:color="auto"/>
          </w:tcBorders>
          <w:vAlign w:val="center"/>
        </w:tcPr>
        <w:p w14:paraId="35F6A487" w14:textId="0878D50C" w:rsidR="00AB39B1" w:rsidRPr="002F1CBD" w:rsidRDefault="00A915F1" w:rsidP="00205ABA">
          <w:pPr>
            <w:pBdr>
              <w:top w:val="single" w:sz="4" w:space="1" w:color="auto"/>
              <w:bottom w:val="single" w:sz="4" w:space="1" w:color="auto"/>
              <w:between w:val="single" w:sz="4" w:space="1" w:color="auto"/>
            </w:pBdr>
            <w:rPr>
              <w:sz w:val="16"/>
              <w:szCs w:val="16"/>
            </w:rPr>
          </w:pPr>
          <w:r w:rsidRPr="004B24A4">
            <w:rPr>
              <w:bCs/>
              <w:sz w:val="16"/>
              <w:szCs w:val="16"/>
            </w:rPr>
            <w:t>„</w:t>
          </w:r>
          <w:r w:rsidRPr="004B24A4">
            <w:rPr>
              <w:sz w:val="16"/>
              <w:szCs w:val="16"/>
            </w:rPr>
            <w:t>Този документ е създаден в рамките на проект: BG16RFOP001-2.001-01</w:t>
          </w:r>
          <w:r w:rsidR="00205ABA">
            <w:rPr>
              <w:sz w:val="16"/>
              <w:szCs w:val="16"/>
            </w:rPr>
            <w:t>2</w:t>
          </w:r>
          <w:r w:rsidRPr="004B24A4">
            <w:rPr>
              <w:sz w:val="16"/>
              <w:szCs w:val="16"/>
            </w:rPr>
            <w:t>4,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по Административен Договор за БФП № BG16RFOP001-2.001-01</w:t>
          </w:r>
          <w:r w:rsidR="00205ABA">
            <w:rPr>
              <w:sz w:val="16"/>
              <w:szCs w:val="16"/>
            </w:rPr>
            <w:t>2</w:t>
          </w:r>
          <w:r w:rsidRPr="004B24A4">
            <w:rPr>
              <w:sz w:val="16"/>
              <w:szCs w:val="16"/>
            </w:rPr>
            <w:t>4-С01, сключен между Община Пещера и Управляващия Орган на ОПРР. Цялата отговорност за съдържанието на публикацията се носи от Община Пещера и при никакви обстоятелства не може да се счита, че този документ отразява официалното становище на Европейския съюз и Управляващия орган на ОПРР 2014-2020г.“</w:t>
          </w:r>
        </w:p>
      </w:tc>
    </w:tr>
  </w:tbl>
  <w:p w14:paraId="6AF93FD2" w14:textId="5373D289" w:rsidR="00AB39B1" w:rsidRPr="00E1290D" w:rsidRDefault="00AB39B1" w:rsidP="00E1290D">
    <w:pPr>
      <w:pBdr>
        <w:top w:val="single" w:sz="4" w:space="1" w:color="auto"/>
      </w:pBdr>
      <w:spacing w:before="0" w:after="0"/>
      <w:rPr>
        <w:sz w:val="18"/>
        <w:szCs w:val="18"/>
      </w:rPr>
    </w:pPr>
    <w:r w:rsidRPr="00E1290D">
      <w:rPr>
        <w:sz w:val="18"/>
        <w:szCs w:val="18"/>
      </w:rPr>
      <w:t>Страница</w:t>
    </w:r>
    <w:r w:rsidRPr="00E1290D">
      <w:rPr>
        <w:b/>
        <w:bCs/>
        <w:sz w:val="18"/>
        <w:szCs w:val="18"/>
      </w:rPr>
      <w:t xml:space="preserve"> </w:t>
    </w:r>
    <w:r w:rsidRPr="00E1290D">
      <w:rPr>
        <w:b/>
        <w:bCs/>
        <w:sz w:val="18"/>
        <w:szCs w:val="18"/>
      </w:rPr>
      <w:fldChar w:fldCharType="begin"/>
    </w:r>
    <w:r w:rsidRPr="00E1290D">
      <w:rPr>
        <w:b/>
        <w:bCs/>
        <w:sz w:val="18"/>
        <w:szCs w:val="18"/>
      </w:rPr>
      <w:instrText xml:space="preserve"> PAGE  </w:instrText>
    </w:r>
    <w:r w:rsidRPr="00E1290D">
      <w:rPr>
        <w:b/>
        <w:bCs/>
        <w:sz w:val="18"/>
        <w:szCs w:val="18"/>
      </w:rPr>
      <w:fldChar w:fldCharType="separate"/>
    </w:r>
    <w:r w:rsidR="00796441">
      <w:rPr>
        <w:b/>
        <w:bCs/>
        <w:noProof/>
        <w:sz w:val="18"/>
        <w:szCs w:val="18"/>
      </w:rPr>
      <w:t>1</w:t>
    </w:r>
    <w:r w:rsidRPr="00E1290D">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9999" w14:textId="77777777" w:rsidR="00764E7D" w:rsidRDefault="00764E7D">
      <w:r>
        <w:separator/>
      </w:r>
    </w:p>
  </w:footnote>
  <w:footnote w:type="continuationSeparator" w:id="0">
    <w:p w14:paraId="632BC82D" w14:textId="77777777" w:rsidR="00764E7D" w:rsidRDefault="00764E7D">
      <w:r>
        <w:continuationSeparator/>
      </w:r>
    </w:p>
  </w:footnote>
  <w:footnote w:type="continuationNotice" w:id="1">
    <w:p w14:paraId="448D634C" w14:textId="77777777" w:rsidR="00764E7D" w:rsidRDefault="00764E7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B220" w14:textId="77777777" w:rsidR="00715C44" w:rsidRDefault="00715C4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5542"/>
      <w:gridCol w:w="2256"/>
    </w:tblGrid>
    <w:tr w:rsidR="00AB39B1" w:rsidRPr="00E1290D" w14:paraId="66764E02" w14:textId="77777777" w:rsidTr="00454BDC">
      <w:tc>
        <w:tcPr>
          <w:tcW w:w="2238" w:type="dxa"/>
        </w:tcPr>
        <w:p w14:paraId="7C722939" w14:textId="77777777" w:rsidR="00AB39B1" w:rsidRPr="00E1290D" w:rsidRDefault="00AB39B1" w:rsidP="002B5031">
          <w:pPr>
            <w:pStyle w:val="a9"/>
            <w:spacing w:before="0" w:after="0"/>
            <w:ind w:right="-1134"/>
            <w:rPr>
              <w:sz w:val="16"/>
              <w:szCs w:val="16"/>
            </w:rPr>
          </w:pPr>
          <w:r w:rsidRPr="00E1290D">
            <w:rPr>
              <w:noProof/>
              <w:sz w:val="16"/>
              <w:szCs w:val="16"/>
            </w:rPr>
            <w:drawing>
              <wp:inline distT="0" distB="0" distL="0" distR="0" wp14:anchorId="712CE0AB" wp14:editId="61B3EC04">
                <wp:extent cx="923925" cy="990600"/>
                <wp:effectExtent l="0" t="0" r="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90600"/>
                        </a:xfrm>
                        <a:prstGeom prst="rect">
                          <a:avLst/>
                        </a:prstGeom>
                        <a:noFill/>
                        <a:ln>
                          <a:noFill/>
                        </a:ln>
                      </pic:spPr>
                    </pic:pic>
                  </a:graphicData>
                </a:graphic>
              </wp:inline>
            </w:drawing>
          </w:r>
        </w:p>
      </w:tc>
      <w:tc>
        <w:tcPr>
          <w:tcW w:w="5542" w:type="dxa"/>
        </w:tcPr>
        <w:p w14:paraId="42A466FE" w14:textId="77777777" w:rsidR="00AB39B1" w:rsidRPr="00E1290D" w:rsidRDefault="00AB39B1" w:rsidP="002B5031">
          <w:pPr>
            <w:spacing w:before="0" w:after="0"/>
            <w:rPr>
              <w:b/>
              <w:sz w:val="16"/>
              <w:szCs w:val="16"/>
            </w:rPr>
          </w:pPr>
        </w:p>
        <w:p w14:paraId="380FFEB5" w14:textId="77777777" w:rsidR="00AB39B1" w:rsidRPr="00E1290D" w:rsidRDefault="00AB39B1" w:rsidP="002B5031">
          <w:pPr>
            <w:spacing w:before="0" w:after="0"/>
            <w:jc w:val="center"/>
            <w:rPr>
              <w:b/>
              <w:sz w:val="16"/>
              <w:szCs w:val="16"/>
            </w:rPr>
          </w:pPr>
          <w:r w:rsidRPr="00E1290D">
            <w:rPr>
              <w:noProof/>
              <w:sz w:val="16"/>
              <w:szCs w:val="16"/>
            </w:rPr>
            <w:drawing>
              <wp:inline distT="0" distB="0" distL="0" distR="0" wp14:anchorId="4E7244DF" wp14:editId="10C8FCAD">
                <wp:extent cx="466725" cy="781050"/>
                <wp:effectExtent l="0" t="0" r="0" b="0"/>
                <wp:docPr id="20" name="Картина 20"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58AB36D3" w14:textId="77777777" w:rsidR="00AB39B1" w:rsidRPr="00E1290D" w:rsidRDefault="00AB39B1" w:rsidP="002B5031">
          <w:pPr>
            <w:spacing w:before="0" w:after="0"/>
            <w:jc w:val="center"/>
            <w:rPr>
              <w:sz w:val="16"/>
              <w:szCs w:val="16"/>
            </w:rPr>
          </w:pPr>
          <w:r w:rsidRPr="00E1290D">
            <w:rPr>
              <w:b/>
              <w:sz w:val="16"/>
              <w:szCs w:val="16"/>
            </w:rPr>
            <w:t>ОБЩИНА ПЕЩЕРА</w:t>
          </w:r>
          <w:r w:rsidRPr="00E1290D">
            <w:rPr>
              <w:sz w:val="16"/>
              <w:szCs w:val="16"/>
            </w:rPr>
            <w:t xml:space="preserve"> </w:t>
          </w:r>
        </w:p>
      </w:tc>
      <w:tc>
        <w:tcPr>
          <w:tcW w:w="2256" w:type="dxa"/>
        </w:tcPr>
        <w:p w14:paraId="3B632B06" w14:textId="77777777" w:rsidR="00AB39B1" w:rsidRPr="00E1290D" w:rsidRDefault="00AB39B1" w:rsidP="002B5031">
          <w:pPr>
            <w:pStyle w:val="a9"/>
            <w:spacing w:before="0" w:after="0"/>
            <w:ind w:right="22"/>
            <w:jc w:val="center"/>
            <w:rPr>
              <w:sz w:val="16"/>
              <w:szCs w:val="16"/>
            </w:rPr>
          </w:pPr>
          <w:r w:rsidRPr="00E1290D">
            <w:rPr>
              <w:noProof/>
              <w:sz w:val="16"/>
              <w:szCs w:val="16"/>
            </w:rPr>
            <w:drawing>
              <wp:inline distT="0" distB="0" distL="0" distR="0" wp14:anchorId="09922E46" wp14:editId="4805FA76">
                <wp:extent cx="1133475" cy="9144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p>
      </w:tc>
    </w:tr>
  </w:tbl>
  <w:p w14:paraId="7FE8089B" w14:textId="499EADC2" w:rsidR="00454BDC" w:rsidRPr="00E1290D" w:rsidRDefault="00454BDC" w:rsidP="00454BDC">
    <w:pPr>
      <w:pBdr>
        <w:top w:val="single" w:sz="4" w:space="1" w:color="auto"/>
        <w:bottom w:val="single" w:sz="4" w:space="1" w:color="auto"/>
        <w:between w:val="single" w:sz="4" w:space="1" w:color="auto"/>
      </w:pBdr>
      <w:spacing w:before="0" w:after="0"/>
      <w:jc w:val="center"/>
      <w:rPr>
        <w:b/>
        <w:sz w:val="16"/>
        <w:szCs w:val="16"/>
      </w:rPr>
    </w:pPr>
    <w:r w:rsidRPr="00E1290D">
      <w:rPr>
        <w:b/>
        <w:bCs/>
        <w:sz w:val="16"/>
        <w:szCs w:val="16"/>
      </w:rPr>
      <w:t xml:space="preserve">ОБЩЕСТВЕНА ПОРЪЧКА ВЪЗЛАГАНА НА ОСНОВАНИЕ ЧЛ. </w:t>
    </w:r>
    <w:r>
      <w:rPr>
        <w:b/>
        <w:bCs/>
        <w:sz w:val="16"/>
        <w:szCs w:val="16"/>
      </w:rPr>
      <w:t>20</w:t>
    </w:r>
    <w:r w:rsidRPr="00E1290D">
      <w:rPr>
        <w:b/>
        <w:bCs/>
        <w:sz w:val="16"/>
        <w:szCs w:val="16"/>
      </w:rPr>
      <w:t xml:space="preserve">, АЛ. </w:t>
    </w:r>
    <w:r w:rsidR="0084141A">
      <w:rPr>
        <w:b/>
        <w:bCs/>
        <w:sz w:val="16"/>
        <w:szCs w:val="16"/>
      </w:rPr>
      <w:t>3</w:t>
    </w:r>
    <w:r w:rsidRPr="00E1290D">
      <w:rPr>
        <w:b/>
        <w:bCs/>
        <w:sz w:val="16"/>
        <w:szCs w:val="16"/>
      </w:rPr>
      <w:t xml:space="preserve">, Т. </w:t>
    </w:r>
    <w:r w:rsidR="0084141A">
      <w:rPr>
        <w:b/>
        <w:bCs/>
        <w:sz w:val="16"/>
        <w:szCs w:val="16"/>
      </w:rPr>
      <w:t>2</w:t>
    </w:r>
    <w:r>
      <w:rPr>
        <w:b/>
        <w:bCs/>
        <w:sz w:val="16"/>
        <w:szCs w:val="16"/>
      </w:rPr>
      <w:t xml:space="preserve"> </w:t>
    </w:r>
    <w:r w:rsidRPr="00E1290D">
      <w:rPr>
        <w:b/>
        <w:bCs/>
        <w:sz w:val="16"/>
        <w:szCs w:val="16"/>
      </w:rPr>
      <w:t>ОТ ЗОП</w:t>
    </w:r>
  </w:p>
  <w:p w14:paraId="6236F39E" w14:textId="4AE4F7BC" w:rsidR="00AB39B1" w:rsidRPr="002F1CBD" w:rsidRDefault="00A915F1" w:rsidP="00A915F1">
    <w:pPr>
      <w:pBdr>
        <w:bottom w:val="single" w:sz="4" w:space="1" w:color="auto"/>
        <w:between w:val="single" w:sz="4" w:space="1" w:color="auto"/>
      </w:pBdr>
      <w:rPr>
        <w:sz w:val="16"/>
        <w:szCs w:val="16"/>
      </w:rPr>
    </w:pPr>
    <w:r w:rsidRPr="0074043B">
      <w:rPr>
        <w:sz w:val="16"/>
        <w:szCs w:val="16"/>
      </w:rPr>
      <w:t>С Предмет: „Извършване на одит с 9 обособени позиции“ по проектно предложение с регистрационен номер: BG16RFOP001-2.001-0124 и наименование на Проекта: „Повишаване на енергийна ефективност на жилищни сгради в гр. Пещера – ЛОТ 4“, кой</w:t>
    </w:r>
    <w:r w:rsidR="00F278AC">
      <w:rPr>
        <w:sz w:val="16"/>
        <w:szCs w:val="16"/>
      </w:rPr>
      <w:t>т</w:t>
    </w:r>
    <w:r w:rsidRPr="0074043B">
      <w:rPr>
        <w:sz w:val="16"/>
        <w:szCs w:val="16"/>
      </w:rPr>
      <w:t>о се осъществява с финансовата подкрепа на Оперативна програма „Региони в растеж” 2014-2020г., съфинансирана от Европейския съюз чрез Европейския фонд за регионално развитие, по Административен  Договор за БФП № BG16RFOP001-2.001-01</w:t>
    </w:r>
    <w:r w:rsidR="000E2CBE">
      <w:rPr>
        <w:sz w:val="16"/>
        <w:szCs w:val="16"/>
      </w:rPr>
      <w:t>2</w:t>
    </w:r>
    <w:r w:rsidRPr="0074043B">
      <w:rPr>
        <w:sz w:val="16"/>
        <w:szCs w:val="16"/>
      </w:rPr>
      <w:t>4-С01, сключен  между Община Пещера и Управляващия Орган на ОПРР“.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0DB802B9"/>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0"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2D055530"/>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0"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1"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27B29BD"/>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6"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7" w15:restartNumberingAfterBreak="0">
    <w:nsid w:val="784677E9"/>
    <w:multiLevelType w:val="hybridMultilevel"/>
    <w:tmpl w:val="214A9DF0"/>
    <w:lvl w:ilvl="0" w:tplc="902EE1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9" w15:restartNumberingAfterBreak="0">
    <w:nsid w:val="7A9F7E38"/>
    <w:multiLevelType w:val="multilevel"/>
    <w:tmpl w:val="9D927E3E"/>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D9B7DA3"/>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1" w15:restartNumberingAfterBreak="0">
    <w:nsid w:val="7FB93194"/>
    <w:multiLevelType w:val="singleLevel"/>
    <w:tmpl w:val="84E4B730"/>
    <w:lvl w:ilvl="0">
      <w:numFmt w:val="decimal"/>
      <w:pStyle w:val="a2"/>
      <w:lvlText w:val=""/>
      <w:lvlJc w:val="left"/>
    </w:lvl>
  </w:abstractNum>
  <w:num w:numId="1">
    <w:abstractNumId w:val="17"/>
  </w:num>
  <w:num w:numId="2">
    <w:abstractNumId w:val="16"/>
  </w:num>
  <w:num w:numId="3">
    <w:abstractNumId w:val="7"/>
  </w:num>
  <w:num w:numId="4">
    <w:abstractNumId w:val="22"/>
  </w:num>
  <w:num w:numId="5">
    <w:abstractNumId w:val="19"/>
  </w:num>
  <w:num w:numId="6">
    <w:abstractNumId w:val="23"/>
  </w:num>
  <w:num w:numId="7">
    <w:abstractNumId w:val="26"/>
  </w:num>
  <w:num w:numId="8">
    <w:abstractNumId w:val="25"/>
  </w:num>
  <w:num w:numId="9">
    <w:abstractNumId w:val="20"/>
  </w:num>
  <w:num w:numId="10">
    <w:abstractNumId w:val="6"/>
  </w:num>
  <w:num w:numId="11">
    <w:abstractNumId w:val="4"/>
  </w:num>
  <w:num w:numId="12">
    <w:abstractNumId w:val="31"/>
  </w:num>
  <w:num w:numId="13">
    <w:abstractNumId w:val="8"/>
  </w:num>
  <w:num w:numId="14">
    <w:abstractNumId w:val="9"/>
  </w:num>
  <w:num w:numId="15">
    <w:abstractNumId w:val="21"/>
  </w:num>
  <w:num w:numId="16">
    <w:abstractNumId w:val="28"/>
  </w:num>
  <w:num w:numId="17">
    <w:abstractNumId w:val="11"/>
  </w:num>
  <w:num w:numId="18">
    <w:abstractNumId w:val="18"/>
  </w:num>
  <w:num w:numId="19">
    <w:abstractNumId w:val="10"/>
  </w:num>
  <w:num w:numId="20">
    <w:abstractNumId w:val="29"/>
  </w:num>
  <w:num w:numId="21">
    <w:abstractNumId w:val="15"/>
  </w:num>
  <w:num w:numId="22">
    <w:abstractNumId w:val="13"/>
  </w:num>
  <w:num w:numId="23">
    <w:abstractNumId w:val="2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0"/>
  </w:num>
  <w:num w:numId="27">
    <w:abstractNumId w:val="5"/>
  </w:num>
  <w:num w:numId="28">
    <w:abstractNumId w:val="24"/>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28CC"/>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856"/>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B85"/>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2CBE"/>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5C1"/>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ABA"/>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27FB1"/>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05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A43"/>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1CBD"/>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44C"/>
    <w:rsid w:val="003176D9"/>
    <w:rsid w:val="00320367"/>
    <w:rsid w:val="00320652"/>
    <w:rsid w:val="00320AD3"/>
    <w:rsid w:val="00320F25"/>
    <w:rsid w:val="0032137B"/>
    <w:rsid w:val="003213FF"/>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D29"/>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620"/>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4DA"/>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825"/>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665"/>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692"/>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68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4D6"/>
    <w:rsid w:val="006A358A"/>
    <w:rsid w:val="006A4D09"/>
    <w:rsid w:val="006A5500"/>
    <w:rsid w:val="006A56DC"/>
    <w:rsid w:val="006A5783"/>
    <w:rsid w:val="006A605B"/>
    <w:rsid w:val="006A637B"/>
    <w:rsid w:val="006A64C5"/>
    <w:rsid w:val="006A669C"/>
    <w:rsid w:val="006A6C33"/>
    <w:rsid w:val="006A6CE6"/>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C44"/>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3DAA"/>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441"/>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2F98"/>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1A"/>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3FF3"/>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3CDD"/>
    <w:rsid w:val="00884401"/>
    <w:rsid w:val="00884435"/>
    <w:rsid w:val="008847EE"/>
    <w:rsid w:val="00885118"/>
    <w:rsid w:val="00885845"/>
    <w:rsid w:val="0088599A"/>
    <w:rsid w:val="00885E28"/>
    <w:rsid w:val="0088602F"/>
    <w:rsid w:val="00886126"/>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CCC"/>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2F5B"/>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4EB2"/>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5F1"/>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340"/>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571"/>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48CC"/>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A5C"/>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1117"/>
    <w:rsid w:val="00DE13F5"/>
    <w:rsid w:val="00DE1A17"/>
    <w:rsid w:val="00DE2413"/>
    <w:rsid w:val="00DE24C5"/>
    <w:rsid w:val="00DE2960"/>
    <w:rsid w:val="00DE3729"/>
    <w:rsid w:val="00DE377D"/>
    <w:rsid w:val="00DE40A2"/>
    <w:rsid w:val="00DE4129"/>
    <w:rsid w:val="00DE4390"/>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1F18"/>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D60"/>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62"/>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8AC"/>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6F1"/>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1802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F21C71"/>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656C2B"/>
    <w:pPr>
      <w:numPr>
        <w:ilvl w:val="3"/>
      </w:numPr>
    </w:pPr>
    <w:rPr>
      <w:b w:val="0"/>
      <w:szCs w:val="22"/>
      <w:u w:val="none"/>
    </w:rPr>
  </w:style>
  <w:style w:type="paragraph" w:customStyle="1" w:styleId="-5">
    <w:name w:val="Вес-5"/>
    <w:basedOn w:val="-4"/>
    <w:autoRedefine/>
    <w:qFormat/>
    <w:rsid w:val="00656C2B"/>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068648396">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CF90-A32A-421B-BBFB-FD29CB63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1039</Words>
  <Characters>6056</Characters>
  <Application>Microsoft Office Word</Application>
  <DocSecurity>0</DocSecurity>
  <Lines>50</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7081</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27</cp:revision>
  <cp:lastPrinted>2016-10-26T10:54:00Z</cp:lastPrinted>
  <dcterms:created xsi:type="dcterms:W3CDTF">2016-10-28T07:38:00Z</dcterms:created>
  <dcterms:modified xsi:type="dcterms:W3CDTF">2016-12-15T09:04:00Z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